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60B5D55C" w:rsidR="004F5FD7" w:rsidRPr="007809A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7809A7" w:rsidRPr="007809A7">
        <w:rPr>
          <w:rFonts w:ascii="Times New Roman" w:eastAsiaTheme="minorEastAsia" w:hAnsi="Times New Roman"/>
          <w:b/>
          <w:i/>
          <w:sz w:val="24"/>
          <w:szCs w:val="24"/>
          <w:lang w:eastAsia="ru-RU"/>
        </w:rPr>
        <w:t>15</w:t>
      </w:r>
      <w:r w:rsidR="00E50327">
        <w:rPr>
          <w:rFonts w:ascii="Times New Roman" w:eastAsiaTheme="minorEastAsia" w:hAnsi="Times New Roman"/>
          <w:b/>
          <w:i/>
          <w:sz w:val="24"/>
          <w:szCs w:val="24"/>
          <w:lang w:eastAsia="ru-RU"/>
        </w:rPr>
        <w:t>3</w:t>
      </w:r>
      <w:r w:rsidR="008C4FEF">
        <w:rPr>
          <w:rFonts w:ascii="Times New Roman" w:eastAsiaTheme="minorEastAsia" w:hAnsi="Times New Roman"/>
          <w:b/>
          <w:i/>
          <w:sz w:val="24"/>
          <w:szCs w:val="24"/>
          <w:lang w:eastAsia="ru-RU"/>
        </w:rPr>
        <w:t>2</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5" w:name="_Hlk53484423"/>
      <w:bookmarkEnd w:id="4"/>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r w:rsidR="007B511C" w:rsidRPr="00FA6BBF">
        <w:rPr>
          <w:rFonts w:eastAsia="Times New Roman"/>
          <w:sz w:val="22"/>
          <w:szCs w:val="22"/>
          <w:lang w:eastAsia="ru-RU"/>
        </w:rPr>
        <w:t>Референсного</w:t>
      </w:r>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w:t>
      </w:r>
      <w:r w:rsidRPr="00FA6BBF">
        <w:rPr>
          <w:rFonts w:ascii="Times New Roman" w:eastAsia="Times New Roman" w:hAnsi="Times New Roman"/>
          <w:lang w:eastAsia="ru-RU"/>
        </w:rPr>
        <w:lastRenderedPageBreak/>
        <w:t>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lastRenderedPageBreak/>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 xml:space="preserve">(в том числе, по </w:t>
      </w:r>
      <w:r w:rsidR="00CB5EF3" w:rsidRPr="00FA6BBF">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Референсного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банком-кастодианом</w:t>
      </w:r>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797F4E9A" w14:textId="478D874A"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w:t>
      </w:r>
      <w:r w:rsidR="009941D0">
        <w:rPr>
          <w:rFonts w:ascii="Times New Roman" w:hAnsi="Times New Roman"/>
        </w:rPr>
        <w:lastRenderedPageBreak/>
        <w:t xml:space="preserve">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конвертация или обмен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все ценные бумаги, являющиеся Референсным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w:t>
      </w:r>
      <w:r w:rsidRPr="00FA6BBF">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 xml:space="preserve">Об утверждении перечня  иностранных финансовых посредников в целях </w:t>
      </w:r>
      <w:r w:rsidR="00AB6515" w:rsidRPr="00AB6515">
        <w:rPr>
          <w:rFonts w:eastAsia="Times New Roman"/>
          <w:sz w:val="22"/>
          <w:szCs w:val="22"/>
          <w:lang w:eastAsia="ru-RU"/>
        </w:rPr>
        <w:lastRenderedPageBreak/>
        <w:t>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текущим владельцам Референсного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t>Референсного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iii)</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lastRenderedPageBreak/>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Референсных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xml:space="preserve">, которое привело или может привести к тому, </w:t>
      </w:r>
      <w:r w:rsidR="001E0F2D" w:rsidRPr="00FA6BBF">
        <w:rPr>
          <w:rFonts w:ascii="Times New Roman" w:eastAsia="Times New Roman" w:hAnsi="Times New Roman"/>
          <w:bCs/>
          <w:iCs/>
          <w:lang w:eastAsia="ru-RU"/>
        </w:rPr>
        <w:lastRenderedPageBreak/>
        <w:t>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актива, предоставленных на основании повторного запроса </w:t>
      </w:r>
      <w:r w:rsidRPr="00FA6BBF">
        <w:rPr>
          <w:rFonts w:ascii="Times New Roman" w:eastAsia="Times New Roman" w:hAnsi="Times New Roman"/>
          <w:lang w:eastAsia="ru-RU"/>
        </w:rPr>
        <w:lastRenderedPageBreak/>
        <w:t>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w:t>
      </w:r>
      <w:r w:rsidRPr="00A8666E">
        <w:rPr>
          <w:rFonts w:ascii="Times New Roman" w:hAnsi="Times New Roman"/>
        </w:rPr>
        <w:lastRenderedPageBreak/>
        <w:t>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3990CE0F" w:rsidR="00E147F7" w:rsidRPr="007809A7"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7809A7" w:rsidRPr="007809A7">
        <w:rPr>
          <w:rFonts w:ascii="Times New Roman" w:eastAsiaTheme="minorHAnsi" w:hAnsi="Times New Roman"/>
          <w:bCs/>
          <w:iCs/>
          <w:szCs w:val="24"/>
        </w:rPr>
        <w:t>15</w:t>
      </w:r>
      <w:r w:rsidR="00E50327">
        <w:rPr>
          <w:rFonts w:ascii="Times New Roman" w:eastAsiaTheme="minorHAnsi" w:hAnsi="Times New Roman"/>
          <w:bCs/>
          <w:iCs/>
          <w:szCs w:val="24"/>
        </w:rPr>
        <w:t>3</w:t>
      </w:r>
      <w:r w:rsidR="008C4FEF">
        <w:rPr>
          <w:rFonts w:ascii="Times New Roman" w:eastAsiaTheme="minorHAnsi" w:hAnsi="Times New Roman"/>
          <w:bCs/>
          <w:iCs/>
          <w:szCs w:val="24"/>
        </w:rPr>
        <w:t>2</w:t>
      </w:r>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53B93952" w14:textId="4208989A" w:rsidR="005D0672" w:rsidRDefault="005D0672" w:rsidP="005D0672">
      <w:pPr>
        <w:pStyle w:val="af"/>
        <w:spacing w:before="240"/>
        <w:outlineLvl w:val="1"/>
        <w:rPr>
          <w:b/>
          <w:color w:val="auto"/>
          <w:sz w:val="22"/>
        </w:rPr>
      </w:pPr>
      <w:r w:rsidRPr="005D0672">
        <w:rPr>
          <w:b/>
          <w:color w:val="auto"/>
          <w:sz w:val="22"/>
        </w:rPr>
        <w:lastRenderedPageBreak/>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lastRenderedPageBreak/>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том корректировок, </w:t>
      </w:r>
      <w:r w:rsidRPr="0085270A">
        <w:rPr>
          <w:rFonts w:ascii="Times New Roman" w:eastAsiaTheme="minorEastAsia" w:hAnsi="Times New Roman"/>
          <w:lang w:eastAsia="ru-RU"/>
        </w:rPr>
        <w:lastRenderedPageBreak/>
        <w:t>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w:t>
      </w:r>
      <w:bookmarkStart w:id="16" w:name="_Hlk57069695"/>
      <w:bookmarkStart w:id="17"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FA6BBF">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6"/>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7"/>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5"/>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8"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19"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19"/>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117940">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w:t>
      </w:r>
      <w:r>
        <w:rPr>
          <w:rFonts w:ascii="Times New Roman" w:hAnsi="Times New Roman"/>
          <w:lang w:eastAsia="ru-RU"/>
        </w:rPr>
        <w:lastRenderedPageBreak/>
        <w:t>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16081141"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7C72B6">
      <w:pPr>
        <w:jc w:val="both"/>
        <w:rPr>
          <w:rFonts w:ascii="Times New Roman" w:eastAsiaTheme="minorEastAsia" w:hAnsi="Times New Roman"/>
          <w:lang w:eastAsia="ru-RU"/>
        </w:rPr>
      </w:pPr>
      <w:r w:rsidRPr="00FA6BBF">
        <w:rPr>
          <w:rFonts w:ascii="Times New Roman" w:eastAsiaTheme="minorEastAsia" w:hAnsi="Times New Roman"/>
          <w:lang w:eastAsia="ru-RU"/>
        </w:rPr>
        <w:t>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Референсного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нных Акций, являющихся Референсным активом, непосредственно после Трансформации Референсного актива к общему количеству размещенных Акций, являющихся Референсным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должен быть равен отношению Цены Референсного актива, в отношении которого произошла Трансформация Референсного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8"/>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lastRenderedPageBreak/>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5BC66A4"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8C4FEF">
          <w:rPr>
            <w:rFonts w:ascii="Times New Roman" w:hAnsi="Times New Roman"/>
            <w:noProof/>
          </w:rPr>
          <w:t>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EF7"/>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472"/>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07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1FE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4F5"/>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09A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4FEF"/>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B6B"/>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A5D"/>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AC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327"/>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4A"/>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03518-4024-477D-AAD2-7C3C273B44AF}">
  <ds:schemaRefs>
    <ds:schemaRef ds:uri="http://schemas.openxmlformats.org/officeDocument/2006/bibliography"/>
  </ds:schemaRefs>
</ds:datastoreItem>
</file>

<file path=customXml/itemProps2.xml><?xml version="1.0" encoding="utf-8"?>
<ds:datastoreItem xmlns:ds="http://schemas.openxmlformats.org/officeDocument/2006/customXml" ds:itemID="{77464B72-2165-43F1-9DFA-EE96E03C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21104</Words>
  <Characters>120294</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2025-06-04T11:34:00Z</dcterms:created>
  <dcterms:modified xsi:type="dcterms:W3CDTF">2025-06-04T11:34:00Z</dcterms:modified>
</cp:coreProperties>
</file>